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3913C" w14:textId="77777777" w:rsidR="00F42A20" w:rsidRDefault="00F42A20" w:rsidP="00F42A20">
      <w:pPr>
        <w:pStyle w:val="NormalWeb"/>
      </w:pPr>
      <w:r w:rsidRPr="00F42A20">
        <w:rPr>
          <w:b/>
          <w:bCs/>
          <w:sz w:val="28"/>
          <w:szCs w:val="28"/>
        </w:rPr>
        <w:t>EU AI Act (Regulation (EU) 2024/1689)</w:t>
      </w:r>
      <w:r w:rsidRPr="00F42A20">
        <w:rPr>
          <w:b/>
          <w:bCs/>
          <w:sz w:val="28"/>
          <w:szCs w:val="28"/>
        </w:rPr>
        <w:br/>
      </w:r>
      <w:r w:rsidRPr="00F42A20">
        <w:rPr>
          <w:b/>
          <w:bCs/>
        </w:rPr>
        <w:t>Operationalizing Legal Compliance Across Ethical AI Integration, Deployment, and Governance</w:t>
      </w:r>
    </w:p>
    <w:p w14:paraId="2BF75E46" w14:textId="6E61DF98" w:rsidR="00F42A20" w:rsidRDefault="00F42A20" w:rsidP="00F42A20">
      <w:pPr>
        <w:pStyle w:val="NormalWeb"/>
        <w:numPr>
          <w:ilvl w:val="0"/>
          <w:numId w:val="1"/>
        </w:numPr>
      </w:pPr>
      <w:r>
        <w:t>Executive Context</w:t>
      </w:r>
      <w:r>
        <w:br/>
        <w:t xml:space="preserve">The EU AI Act is a binding regulatory system designed to protect health, safety, fundamental rights, democracy, </w:t>
      </w:r>
      <w:r>
        <w:t xml:space="preserve">the </w:t>
      </w:r>
      <w:r>
        <w:t xml:space="preserve">rule of law, and environmental interests while enabling trustworthy AI and supporting the internal market. It regulates AI through explicit prohibitions, risk-based obligations, and enforceable governance structures. </w:t>
      </w:r>
    </w:p>
    <w:p w14:paraId="4BE8751A" w14:textId="16F1DF84" w:rsidR="00F42A20" w:rsidRDefault="00F42A20" w:rsidP="00F42A20">
      <w:pPr>
        <w:pStyle w:val="NormalWeb"/>
        <w:numPr>
          <w:ilvl w:val="0"/>
          <w:numId w:val="1"/>
        </w:numPr>
      </w:pPr>
      <w:r>
        <w:t>Scope and Intent</w:t>
      </w:r>
      <w:r>
        <w:br/>
        <w:t xml:space="preserve">The Act applies to providers placing AI systems or general-purpose AI models on the EU market, </w:t>
      </w:r>
      <w:r>
        <w:t>to deployers in the EU, and to certain non-EU actors whose</w:t>
      </w:r>
      <w:r>
        <w:t xml:space="preserve"> outputs are used in the Union. It covers prohibited practices, high-risk AI requirements, transparency rules, general-purpose AI model rules, and enforcement mechanisms. </w:t>
      </w:r>
    </w:p>
    <w:p w14:paraId="2FE13FD6" w14:textId="648E938D" w:rsidR="00F42A20" w:rsidRDefault="00F42A20" w:rsidP="00F42A20">
      <w:pPr>
        <w:pStyle w:val="NormalWeb"/>
        <w:numPr>
          <w:ilvl w:val="0"/>
          <w:numId w:val="1"/>
        </w:numPr>
      </w:pPr>
      <w:r>
        <w:t>Alignment to Ethical AI Integration Strategy</w:t>
      </w:r>
      <w:r>
        <w:br/>
        <w:t xml:space="preserve">Strategic impact is immediate: AI adoption becomes a regulated enterprise risk decision. Organizations must define a legally informed AI risk appetite, establish accountable ownership, and embed compliance-by-design </w:t>
      </w:r>
      <w:r>
        <w:t>into use-case</w:t>
      </w:r>
      <w:r>
        <w:t xml:space="preserve"> selection. The Act’s structure </w:t>
      </w:r>
      <w:r>
        <w:t>clarifies</w:t>
      </w:r>
      <w:r>
        <w:t xml:space="preserve"> acceptable versus unacceptable uses, shifting “ethics” into defensible governance choices.</w:t>
      </w:r>
    </w:p>
    <w:p w14:paraId="6F5AC2F7" w14:textId="77777777" w:rsidR="00F42A20" w:rsidRDefault="00F42A20" w:rsidP="00F42A20">
      <w:pPr>
        <w:pStyle w:val="NormalWeb"/>
        <w:numPr>
          <w:ilvl w:val="0"/>
          <w:numId w:val="1"/>
        </w:numPr>
      </w:pPr>
      <w:r>
        <w:t>Alignment to Deployment and Lifecycle Controls</w:t>
      </w:r>
      <w:r>
        <w:br/>
        <w:t>The implementation schedule makes lifecycle gating non-optional. Key application milestones (progressive rollout) are:</w:t>
      </w:r>
    </w:p>
    <w:p w14:paraId="07F66FDA" w14:textId="474AAF65" w:rsidR="00F42A20" w:rsidRDefault="00F42A20" w:rsidP="00F42A20">
      <w:pPr>
        <w:pStyle w:val="NormalWeb"/>
        <w:numPr>
          <w:ilvl w:val="0"/>
          <w:numId w:val="2"/>
        </w:numPr>
      </w:pPr>
      <w:r>
        <w:t>February 2, 2025</w:t>
      </w:r>
      <w:r>
        <w:t xml:space="preserve">: general provisions (including AI literacy) and prohibitions apply. </w:t>
      </w:r>
    </w:p>
    <w:p w14:paraId="142DA3E3" w14:textId="609B50DB" w:rsidR="00F42A20" w:rsidRDefault="00F42A20" w:rsidP="00F42A20">
      <w:pPr>
        <w:pStyle w:val="NormalWeb"/>
        <w:numPr>
          <w:ilvl w:val="0"/>
          <w:numId w:val="2"/>
        </w:numPr>
      </w:pPr>
      <w:r>
        <w:t>August 2, 2025</w:t>
      </w:r>
      <w:r>
        <w:t>: rules for general-purpose AI apply</w:t>
      </w:r>
      <w:r>
        <w:t>,</w:t>
      </w:r>
      <w:r>
        <w:t xml:space="preserve"> and required governance must be in place. </w:t>
      </w:r>
    </w:p>
    <w:p w14:paraId="35F4FCF4" w14:textId="7C3DDD86" w:rsidR="00F42A20" w:rsidRDefault="00F42A20" w:rsidP="00F42A20">
      <w:pPr>
        <w:pStyle w:val="NormalWeb"/>
        <w:numPr>
          <w:ilvl w:val="0"/>
          <w:numId w:val="2"/>
        </w:numPr>
      </w:pPr>
      <w:r>
        <w:t>August 2, 2026</w:t>
      </w:r>
      <w:r>
        <w:t xml:space="preserve">: </w:t>
      </w:r>
      <w:proofErr w:type="gramStart"/>
      <w:r>
        <w:t xml:space="preserve">the </w:t>
      </w:r>
      <w:r>
        <w:t>majority of</w:t>
      </w:r>
      <w:proofErr w:type="gramEnd"/>
      <w:r>
        <w:t xml:space="preserve"> rules apply, including high-risk AI systems in Annex III, transparency rules (Article 50), innovation measures, sandboxes, and enforcement </w:t>
      </w:r>
      <w:r>
        <w:t>starts</w:t>
      </w:r>
      <w:r>
        <w:t xml:space="preserve">. </w:t>
      </w:r>
    </w:p>
    <w:p w14:paraId="1298ED0B" w14:textId="150ECD18" w:rsidR="00F42A20" w:rsidRDefault="00F42A20" w:rsidP="00F42A20">
      <w:pPr>
        <w:pStyle w:val="NormalWeb"/>
        <w:numPr>
          <w:ilvl w:val="0"/>
          <w:numId w:val="2"/>
        </w:numPr>
      </w:pPr>
      <w:r>
        <w:t>August 2, 2027</w:t>
      </w:r>
      <w:r>
        <w:t xml:space="preserve">: rules for high-risk AI embedded in regulated products apply. </w:t>
      </w:r>
    </w:p>
    <w:p w14:paraId="0FCA6EA7" w14:textId="77777777" w:rsidR="00F42A20" w:rsidRDefault="00F42A20" w:rsidP="00F42A20">
      <w:pPr>
        <w:pStyle w:val="NormalWeb"/>
      </w:pPr>
      <w:r>
        <w:t>Operationally, this creates mandated decision gates: prohibited-practice screening, high-risk classification, technical and documentation readiness, post-market monitoring, and change control for significant modifications.</w:t>
      </w:r>
    </w:p>
    <w:p w14:paraId="6403C439" w14:textId="75E10BA1" w:rsidR="00F42A20" w:rsidRDefault="00F42A20" w:rsidP="00F42A20">
      <w:pPr>
        <w:pStyle w:val="NormalWeb"/>
        <w:numPr>
          <w:ilvl w:val="0"/>
          <w:numId w:val="3"/>
        </w:numPr>
      </w:pPr>
      <w:r>
        <w:t>Governance, Oversight, and Accountability</w:t>
      </w:r>
      <w:r>
        <w:br/>
        <w:t xml:space="preserve">The Act compels institutional governance. By </w:t>
      </w:r>
      <w:r>
        <w:t>August 2, 2025</w:t>
      </w:r>
      <w:r>
        <w:t>, EU-level governance bodies must be set up</w:t>
      </w:r>
      <w:r>
        <w:t>,</w:t>
      </w:r>
      <w:r>
        <w:t xml:space="preserve"> and Member States must designate competent authorities and establish penalties in national law. This directly aligns </w:t>
      </w:r>
      <w:r>
        <w:t>with</w:t>
      </w:r>
      <w:r>
        <w:t xml:space="preserve"> an AI Management System posture: named decision rights, evidence trails, internal review cadence, and </w:t>
      </w:r>
      <w:r>
        <w:t>enforcement-tied escalation paths</w:t>
      </w:r>
      <w:r>
        <w:t>.</w:t>
      </w:r>
    </w:p>
    <w:p w14:paraId="7F8BAA73" w14:textId="3B0B5F53" w:rsidR="00F42A20" w:rsidRDefault="00F42A20" w:rsidP="00F42A20">
      <w:pPr>
        <w:pStyle w:val="NormalWeb"/>
        <w:numPr>
          <w:ilvl w:val="0"/>
          <w:numId w:val="3"/>
        </w:numPr>
      </w:pPr>
      <w:r>
        <w:t>Risk Management and Ethical Safeguards</w:t>
      </w:r>
      <w:r>
        <w:br/>
        <w:t xml:space="preserve">The Act hard-codes ethical risk into legal categories: prohibited practices (unacceptable risk), strict obligations for high-risk systems, transparency duties, and general-purpose AI model responsibilities. Prohibitions include, among others, social scoring, </w:t>
      </w:r>
      <w:r>
        <w:t>specific</w:t>
      </w:r>
      <w:r>
        <w:t xml:space="preserve"> </w:t>
      </w:r>
      <w:r>
        <w:lastRenderedPageBreak/>
        <w:t>predictive policing approaches, untargeted facial image scraping for databases, and emotion inference in workplaces and education</w:t>
      </w:r>
      <w:r>
        <w:t>,</w:t>
      </w:r>
      <w:r>
        <w:t xml:space="preserve"> with limited exceptions. </w:t>
      </w:r>
    </w:p>
    <w:p w14:paraId="2C1705A0" w14:textId="77777777" w:rsidR="00F42A20" w:rsidRDefault="00F42A20" w:rsidP="00F42A20">
      <w:pPr>
        <w:pStyle w:val="NormalWeb"/>
        <w:numPr>
          <w:ilvl w:val="0"/>
          <w:numId w:val="3"/>
        </w:numPr>
      </w:pPr>
      <w:r>
        <w:t>Strategic Implications for Organizations</w:t>
      </w:r>
      <w:r>
        <w:br/>
        <w:t>The fastest path to defensible compliance is to treat the Act as a governance operating model, not a legal checklist. This means:</w:t>
      </w:r>
    </w:p>
    <w:p w14:paraId="0A3F8ABE" w14:textId="77777777" w:rsidR="00F42A20" w:rsidRDefault="00F42A20" w:rsidP="00F42A20">
      <w:pPr>
        <w:pStyle w:val="NormalWeb"/>
        <w:numPr>
          <w:ilvl w:val="0"/>
          <w:numId w:val="4"/>
        </w:numPr>
      </w:pPr>
      <w:r>
        <w:t>Establish AI inventory and classification workflows.</w:t>
      </w:r>
    </w:p>
    <w:p w14:paraId="42BA56AB" w14:textId="77777777" w:rsidR="00F42A20" w:rsidRDefault="00F42A20" w:rsidP="00F42A20">
      <w:pPr>
        <w:pStyle w:val="NormalWeb"/>
        <w:numPr>
          <w:ilvl w:val="0"/>
          <w:numId w:val="4"/>
        </w:numPr>
      </w:pPr>
      <w:r>
        <w:t>Implement documentation, traceability, and monitoring as default controls.</w:t>
      </w:r>
    </w:p>
    <w:p w14:paraId="019BA814" w14:textId="1B7B9661" w:rsidR="00F42A20" w:rsidRDefault="00F42A20" w:rsidP="00F42A20">
      <w:pPr>
        <w:pStyle w:val="NormalWeb"/>
        <w:numPr>
          <w:ilvl w:val="0"/>
          <w:numId w:val="4"/>
        </w:numPr>
      </w:pPr>
      <w:r>
        <w:t xml:space="preserve">Build governance bodies and audit readiness ahead of </w:t>
      </w:r>
      <w:proofErr w:type="gramStart"/>
      <w:r>
        <w:t>the August</w:t>
      </w:r>
      <w:proofErr w:type="gramEnd"/>
      <w:r>
        <w:t xml:space="preserve"> 2, 2026,</w:t>
      </w:r>
      <w:r>
        <w:t xml:space="preserve"> enforcement start. </w:t>
      </w:r>
    </w:p>
    <w:p w14:paraId="4B8BC575" w14:textId="77777777" w:rsidR="00F42A20" w:rsidRDefault="00F42A20" w:rsidP="00F42A20">
      <w:pPr>
        <w:pStyle w:val="NormalWeb"/>
        <w:numPr>
          <w:ilvl w:val="0"/>
          <w:numId w:val="5"/>
        </w:numPr>
      </w:pPr>
      <w:r>
        <w:t>Relationship to Other Instruments</w:t>
      </w:r>
      <w:r>
        <w:br/>
        <w:t>The EU AI Act is the binding layer that Tier 1 standards can operationalize:</w:t>
      </w:r>
    </w:p>
    <w:p w14:paraId="4C22EA34" w14:textId="77777777" w:rsidR="00F42A20" w:rsidRDefault="00F42A20" w:rsidP="00F42A20">
      <w:pPr>
        <w:pStyle w:val="NormalWeb"/>
        <w:numPr>
          <w:ilvl w:val="0"/>
          <w:numId w:val="6"/>
        </w:numPr>
      </w:pPr>
      <w:r>
        <w:t>ISO/IEC 42001: management system backbone for compliance evidence.</w:t>
      </w:r>
    </w:p>
    <w:p w14:paraId="727FA3E1" w14:textId="77777777" w:rsidR="00F42A20" w:rsidRDefault="00F42A20" w:rsidP="00F42A20">
      <w:pPr>
        <w:pStyle w:val="NormalWeb"/>
        <w:numPr>
          <w:ilvl w:val="0"/>
          <w:numId w:val="6"/>
        </w:numPr>
      </w:pPr>
      <w:r>
        <w:t>ISO/IEC 23894 and NIST AI RMF: risk identification, measurement, and treatment depth.</w:t>
      </w:r>
    </w:p>
    <w:p w14:paraId="25BEEA86" w14:textId="77777777" w:rsidR="00F42A20" w:rsidRDefault="00F42A20" w:rsidP="00F42A20">
      <w:pPr>
        <w:pStyle w:val="NormalWeb"/>
        <w:numPr>
          <w:ilvl w:val="0"/>
          <w:numId w:val="6"/>
        </w:numPr>
      </w:pPr>
      <w:r>
        <w:t>ISO 8000: data and information quality governance supporting lawful, reliable outcomes.</w:t>
      </w:r>
    </w:p>
    <w:p w14:paraId="2837CCDB" w14:textId="77777777" w:rsidR="00F42A20" w:rsidRDefault="00F42A20" w:rsidP="00F42A20">
      <w:pPr>
        <w:pStyle w:val="NormalWeb"/>
        <w:numPr>
          <w:ilvl w:val="0"/>
          <w:numId w:val="6"/>
        </w:numPr>
      </w:pPr>
      <w:r>
        <w:t>ISO/IEC 27001 and 27701: security and privacy trust boundaries for regulated AI operations.</w:t>
      </w:r>
    </w:p>
    <w:p w14:paraId="7FBAAD8B" w14:textId="77777777" w:rsidR="00F42A20" w:rsidRDefault="00F42A20" w:rsidP="00F42A20">
      <w:pPr>
        <w:pStyle w:val="NormalWeb"/>
        <w:numPr>
          <w:ilvl w:val="0"/>
          <w:numId w:val="7"/>
        </w:numPr>
      </w:pPr>
      <w:r>
        <w:t>Why the EU AI Act Matters</w:t>
      </w:r>
      <w:r>
        <w:br/>
        <w:t xml:space="preserve">It converts trustworthy AI from voluntary aspiration into enforceable obligations with phased deadlines, governance structures, and active enforcement. The practical question is no longer “Should we govern AI?” but “Can we prove we did?” </w:t>
      </w:r>
    </w:p>
    <w:p w14:paraId="01044033" w14:textId="77777777" w:rsidR="00000F6F" w:rsidRDefault="00000F6F"/>
    <w:sectPr w:rsidR="00000F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335B"/>
    <w:multiLevelType w:val="multilevel"/>
    <w:tmpl w:val="C7DA8E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7C685B"/>
    <w:multiLevelType w:val="multilevel"/>
    <w:tmpl w:val="4EFC79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FC6776"/>
    <w:multiLevelType w:val="multilevel"/>
    <w:tmpl w:val="5498B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0B0BEE"/>
    <w:multiLevelType w:val="multilevel"/>
    <w:tmpl w:val="D5AE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AC70E0"/>
    <w:multiLevelType w:val="multilevel"/>
    <w:tmpl w:val="3D789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561FA8"/>
    <w:multiLevelType w:val="multilevel"/>
    <w:tmpl w:val="3B5A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93386E"/>
    <w:multiLevelType w:val="multilevel"/>
    <w:tmpl w:val="262007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7900905">
    <w:abstractNumId w:val="2"/>
  </w:num>
  <w:num w:numId="2" w16cid:durableId="1952474416">
    <w:abstractNumId w:val="4"/>
  </w:num>
  <w:num w:numId="3" w16cid:durableId="1961299599">
    <w:abstractNumId w:val="1"/>
  </w:num>
  <w:num w:numId="4" w16cid:durableId="1002120671">
    <w:abstractNumId w:val="3"/>
  </w:num>
  <w:num w:numId="5" w16cid:durableId="488712250">
    <w:abstractNumId w:val="0"/>
  </w:num>
  <w:num w:numId="6" w16cid:durableId="1256480619">
    <w:abstractNumId w:val="5"/>
  </w:num>
  <w:num w:numId="7" w16cid:durableId="6300131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A20"/>
    <w:rsid w:val="00000F6F"/>
    <w:rsid w:val="001F1219"/>
    <w:rsid w:val="005E3BAD"/>
    <w:rsid w:val="006B222B"/>
    <w:rsid w:val="006F6081"/>
    <w:rsid w:val="007841F4"/>
    <w:rsid w:val="00794C78"/>
    <w:rsid w:val="00C01C56"/>
    <w:rsid w:val="00F42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B8A64"/>
  <w15:chartTrackingRefBased/>
  <w15:docId w15:val="{85C89B70-8240-4073-A9F9-E7214D793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A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2A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2A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2A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2A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2A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A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A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A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A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2A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2A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2A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2A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2A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A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A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A20"/>
    <w:rPr>
      <w:rFonts w:eastAsiaTheme="majorEastAsia" w:cstheme="majorBidi"/>
      <w:color w:val="272727" w:themeColor="text1" w:themeTint="D8"/>
    </w:rPr>
  </w:style>
  <w:style w:type="paragraph" w:styleId="Title">
    <w:name w:val="Title"/>
    <w:basedOn w:val="Normal"/>
    <w:next w:val="Normal"/>
    <w:link w:val="TitleChar"/>
    <w:uiPriority w:val="10"/>
    <w:qFormat/>
    <w:rsid w:val="00F42A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A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A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A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A20"/>
    <w:pPr>
      <w:spacing w:before="160"/>
      <w:jc w:val="center"/>
    </w:pPr>
    <w:rPr>
      <w:i/>
      <w:iCs/>
      <w:color w:val="404040" w:themeColor="text1" w:themeTint="BF"/>
    </w:rPr>
  </w:style>
  <w:style w:type="character" w:customStyle="1" w:styleId="QuoteChar">
    <w:name w:val="Quote Char"/>
    <w:basedOn w:val="DefaultParagraphFont"/>
    <w:link w:val="Quote"/>
    <w:uiPriority w:val="29"/>
    <w:rsid w:val="00F42A20"/>
    <w:rPr>
      <w:i/>
      <w:iCs/>
      <w:color w:val="404040" w:themeColor="text1" w:themeTint="BF"/>
    </w:rPr>
  </w:style>
  <w:style w:type="paragraph" w:styleId="ListParagraph">
    <w:name w:val="List Paragraph"/>
    <w:basedOn w:val="Normal"/>
    <w:uiPriority w:val="34"/>
    <w:qFormat/>
    <w:rsid w:val="00F42A20"/>
    <w:pPr>
      <w:ind w:left="720"/>
      <w:contextualSpacing/>
    </w:pPr>
  </w:style>
  <w:style w:type="character" w:styleId="IntenseEmphasis">
    <w:name w:val="Intense Emphasis"/>
    <w:basedOn w:val="DefaultParagraphFont"/>
    <w:uiPriority w:val="21"/>
    <w:qFormat/>
    <w:rsid w:val="00F42A20"/>
    <w:rPr>
      <w:i/>
      <w:iCs/>
      <w:color w:val="0F4761" w:themeColor="accent1" w:themeShade="BF"/>
    </w:rPr>
  </w:style>
  <w:style w:type="paragraph" w:styleId="IntenseQuote">
    <w:name w:val="Intense Quote"/>
    <w:basedOn w:val="Normal"/>
    <w:next w:val="Normal"/>
    <w:link w:val="IntenseQuoteChar"/>
    <w:uiPriority w:val="30"/>
    <w:qFormat/>
    <w:rsid w:val="00F42A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2A20"/>
    <w:rPr>
      <w:i/>
      <w:iCs/>
      <w:color w:val="0F4761" w:themeColor="accent1" w:themeShade="BF"/>
    </w:rPr>
  </w:style>
  <w:style w:type="character" w:styleId="IntenseReference">
    <w:name w:val="Intense Reference"/>
    <w:basedOn w:val="DefaultParagraphFont"/>
    <w:uiPriority w:val="32"/>
    <w:qFormat/>
    <w:rsid w:val="00F42A20"/>
    <w:rPr>
      <w:b/>
      <w:bCs/>
      <w:smallCaps/>
      <w:color w:val="0F4761" w:themeColor="accent1" w:themeShade="BF"/>
      <w:spacing w:val="5"/>
    </w:rPr>
  </w:style>
  <w:style w:type="paragraph" w:styleId="NormalWeb">
    <w:name w:val="Normal (Web)"/>
    <w:basedOn w:val="Normal"/>
    <w:uiPriority w:val="99"/>
    <w:semiHidden/>
    <w:unhideWhenUsed/>
    <w:rsid w:val="00F42A2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545</Words>
  <Characters>3485</Characters>
  <Application>Microsoft Office Word</Application>
  <DocSecurity>0</DocSecurity>
  <Lines>60</Lines>
  <Paragraphs>25</Paragraphs>
  <ScaleCrop>false</ScaleCrop>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Rutherford</dc:creator>
  <cp:keywords/>
  <dc:description/>
  <cp:lastModifiedBy>Dale Rutherford</cp:lastModifiedBy>
  <cp:revision>1</cp:revision>
  <dcterms:created xsi:type="dcterms:W3CDTF">2026-01-17T15:40:00Z</dcterms:created>
  <dcterms:modified xsi:type="dcterms:W3CDTF">2026-01-17T15:43:00Z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128bad23-bdca-430a-8f31-1761e7e8f69f</vt:lpwstr>
  </property>
</Properties>
</file>